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73" w:rsidRPr="0000007D" w:rsidRDefault="00CB7373" w:rsidP="00CB7373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0"/>
        <w:rPr>
          <w:rFonts w:ascii="Arial" w:eastAsia="Times New Roman" w:hAnsi="Arial" w:cs="Arial"/>
          <w:b/>
          <w:bCs/>
          <w:caps/>
          <w:color w:val="666666"/>
          <w:kern w:val="36"/>
          <w:sz w:val="24"/>
          <w:szCs w:val="24"/>
          <w:lang w:eastAsia="ru-RU"/>
        </w:rPr>
      </w:pPr>
      <w:r w:rsidRPr="0000007D">
        <w:rPr>
          <w:rFonts w:ascii="Arial" w:eastAsia="Times New Roman" w:hAnsi="Arial" w:cs="Arial"/>
          <w:b/>
          <w:bCs/>
          <w:caps/>
          <w:color w:val="666666"/>
          <w:kern w:val="36"/>
          <w:sz w:val="24"/>
          <w:szCs w:val="24"/>
          <w:lang w:eastAsia="ru-RU"/>
        </w:rPr>
        <w:t>НОРМАТИВНАЯ БАЗА ПО ВОПРОСАМ ЗАЩИТЫ ПРАВ ПОТРЕБИТЕЛЕЙ</w:t>
      </w:r>
    </w:p>
    <w:p w:rsidR="00CB7373" w:rsidRPr="0000007D" w:rsidRDefault="00CB7373" w:rsidP="00CB7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76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65F67" wp14:editId="3276BAA6">
            <wp:extent cx="2667000" cy="2667000"/>
            <wp:effectExtent l="0" t="0" r="0" b="0"/>
            <wp:docPr id="3" name="Рисунок 3" descr="прочие нормативные 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чие нормативные ак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Нормативная база по вопросам защиты прав потребителей содержит ряд документов и перечней, регламентирующих рынок продажи и покупки товаров и услуг.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Большинство потребительских норм охватывает Закон о защите прав потребителей. Немалая часть вопросов регулируется некоторыми статьями ГК РФ. Правила продажи отдельных видов товаров и оказание отдельных видов услуг регламентированы нормативными актами – Правилами, утвержденными Постановлением Правительства РФ, а также специальными Перечнями.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Система законодательства Российской Федерации по вопросам защиты прав потребителей включает в себя все сферы товаров и услуг, гарантируя возможность совершать сделки по купле-продаже в правовом поле.</w:t>
      </w:r>
    </w:p>
    <w:p w:rsidR="00CB7373" w:rsidRPr="0000007D" w:rsidRDefault="00CB7373" w:rsidP="00CB7373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A539B"/>
          <w:lang w:eastAsia="ru-RU"/>
        </w:rPr>
        <w:t xml:space="preserve">                     </w:t>
      </w:r>
      <w:r w:rsidRPr="0000007D">
        <w:rPr>
          <w:rFonts w:ascii="Arial" w:eastAsia="Times New Roman" w:hAnsi="Arial" w:cs="Arial"/>
          <w:b/>
          <w:bCs/>
          <w:caps/>
          <w:color w:val="3A539B"/>
          <w:lang w:eastAsia="ru-RU"/>
        </w:rPr>
        <w:t>ГРАЖДАНСКИЙ КОДЕКС РОССИЙСКОЙ ФЕДЕРАЦИИ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Основным нормативным документом в данной сфере является </w:t>
      </w:r>
      <w:hyperlink r:id="rId5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Гражданский кодекс Российской Федерации</w:t>
        </w:r>
      </w:hyperlink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. Указанным Кодексом, в частности, определяются основные вопросы порядка заключения и исполнения договоров купли-продажи в розничной торговле, возмездного оказания услуг и выполнения работ по заказу потребителя.</w:t>
      </w:r>
    </w:p>
    <w:p w:rsidR="00CB7373" w:rsidRPr="0000007D" w:rsidRDefault="00CB7373" w:rsidP="00CB7373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A539B"/>
          <w:lang w:eastAsia="ru-RU"/>
        </w:rPr>
        <w:t xml:space="preserve">                             </w:t>
      </w:r>
      <w:r w:rsidRPr="0000007D">
        <w:rPr>
          <w:rFonts w:ascii="Arial" w:eastAsia="Times New Roman" w:hAnsi="Arial" w:cs="Arial"/>
          <w:b/>
          <w:bCs/>
          <w:caps/>
          <w:color w:val="3A539B"/>
          <w:lang w:eastAsia="ru-RU"/>
        </w:rPr>
        <w:t>ЗАКОН О ЗАЩИТЕ ПРАВ ПОТРЕБИТЕЛЕЙ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Важнейшим документом в данной сфере является </w:t>
      </w:r>
      <w:hyperlink r:id="rId6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Закон Российской Федерации «О защите прав потребителей»</w:t>
        </w:r>
      </w:hyperlink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от 07.02.1992 № 2300-1.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Данным Законом закреплены основные нормы о правах потребителей при приобретении товаров, получении результатов работ и оказанных услугах.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Указанным Законом, в частности, рассматриваются вопросы обязанностей продавца товара (лица, выполняющего работы, оказывающего услуги), оснований возникновения их ответственности за продажу товаров ненадлежащего качества, не</w:t>
      </w: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передачу покупателю товара, за который потребитель уже внес оговоренную сумму (предварительная оплата), неоказание услуг, оказание услуг с нарушением условий о качестве. Аналогично, указанным Законом определяются требования к выполняемым для потребителя работам и последствия их нарушения.</w:t>
      </w:r>
    </w:p>
    <w:p w:rsidR="00CB7373" w:rsidRPr="0000007D" w:rsidRDefault="00CB7373" w:rsidP="00CB7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CB7373" w:rsidRPr="0000007D" w:rsidRDefault="00CB7373" w:rsidP="00CB7373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A539B"/>
          <w:lang w:eastAsia="ru-RU"/>
        </w:rPr>
        <w:t xml:space="preserve">                                      </w:t>
      </w:r>
      <w:r w:rsidRPr="0000007D">
        <w:rPr>
          <w:rFonts w:ascii="Arial" w:eastAsia="Times New Roman" w:hAnsi="Arial" w:cs="Arial"/>
          <w:b/>
          <w:bCs/>
          <w:caps/>
          <w:color w:val="3A539B"/>
          <w:lang w:eastAsia="ru-RU"/>
        </w:rPr>
        <w:t>ПРАВИЛА ОКАЗАНИЯ УСЛУГ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Особое место в системе законодательства занимают нормативные акты, принятые Правительством РФ по рассматриваемым вопросам. Данными актами четко определяются особенности защиты прав </w:t>
      </w: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потребителей применительно к отдельным конкретным направлениям такой защиты и отдельным видам </w:t>
      </w:r>
      <w:hyperlink r:id="rId7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приобретаемых потребителями услуг</w:t>
        </w:r>
      </w:hyperlink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.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Так, например, вопросы заключения и исполнения договоров на обслуживание телефонной связью регулируются специальными Правилами, утв. Постановлением Правительства РФ от 10.11.2011 № 924, предоставление услуг по передаче данных – Правилами, утв. Постановлением Правительства РФ от 23.01.2006 № 32, порядок проживания граждан в гостиницах – Правилами, утв. Постановлением Правительства РФ от 09.10.2015 № 1085, деятельность </w:t>
      </w:r>
      <w:proofErr w:type="spellStart"/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турагентов</w:t>
      </w:r>
      <w:proofErr w:type="spellEnd"/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и туроператоров – Правилами, утв. Постановлением Правительства РФ от 18.07.2007 № 452 и т.д.</w:t>
      </w:r>
    </w:p>
    <w:p w:rsidR="00CB7373" w:rsidRPr="0000007D" w:rsidRDefault="00CB7373" w:rsidP="00CB7373">
      <w:pPr>
        <w:pBdr>
          <w:left w:val="single" w:sz="12" w:space="8" w:color="3A539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aps/>
          <w:color w:val="3A539B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A539B"/>
          <w:lang w:eastAsia="ru-RU"/>
        </w:rPr>
        <w:t xml:space="preserve">                                      </w:t>
      </w:r>
      <w:r w:rsidRPr="0000007D">
        <w:rPr>
          <w:rFonts w:ascii="Arial" w:eastAsia="Times New Roman" w:hAnsi="Arial" w:cs="Arial"/>
          <w:b/>
          <w:bCs/>
          <w:caps/>
          <w:color w:val="3A539B"/>
          <w:lang w:eastAsia="ru-RU"/>
        </w:rPr>
        <w:t>ПРАВИЛА ПРОДАЖИ И ПЕРЕЧНИ ТОВАРОВ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Применительно к продаже товаров важное значение имеют 3 специально закрепленных перечня товаров, в отношении которых установлены особые правила.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Это касается, во-первых, так называемых, </w:t>
      </w:r>
      <w:hyperlink r:id="rId8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технически сложных товаров</w:t>
        </w:r>
      </w:hyperlink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, Перечень которых утв. Постановлением Правительства РФ от 10.11.2011 № 924. Необходимость закрепления такого перечня обусловлена особенностями их ремонта, обмена или возврата, вызванными наличием гарантийного срока.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Во-вторых, Постановлением Правительства РФ от 19.01.1998 № 55 специально утверждены:</w:t>
      </w:r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hyperlink r:id="rId9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1) Перечень непродовольственных товаров, в отношении которых потребитель не вправе заявлять требование об их возврате или обмене, если такие товары не имеют недостатков по качеству;</w:t>
        </w:r>
      </w:hyperlink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hyperlink r:id="rId10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2) Перечень товаров длительного пользования, при ремонте или замене которых потребитель не вправе заявлять требование о предоставлении ему в пользование аналогичного товара.</w:t>
        </w:r>
      </w:hyperlink>
    </w:p>
    <w:p w:rsidR="00CB7373" w:rsidRPr="0000007D" w:rsidRDefault="00CB7373" w:rsidP="00CB737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Кроме того, имеют свои особенности и некоторые способы продажи товаров. Так, особенности </w:t>
      </w:r>
      <w:hyperlink r:id="rId11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комиссионной торговли</w:t>
        </w:r>
      </w:hyperlink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закреплены Постановлением Правительства РФ от 06.06.1998 г. № 569, а Постановлением Правительства РФ от 27.09.2007 г. № 612 специально установлены </w:t>
      </w:r>
      <w:hyperlink r:id="rId12" w:history="1">
        <w:r w:rsidRPr="0000007D">
          <w:rPr>
            <w:rFonts w:ascii="Arial" w:eastAsia="Times New Roman" w:hAnsi="Arial" w:cs="Arial"/>
            <w:b/>
            <w:bCs/>
            <w:color w:val="3A539B"/>
            <w:sz w:val="19"/>
            <w:szCs w:val="19"/>
            <w:u w:val="single"/>
            <w:lang w:eastAsia="ru-RU"/>
          </w:rPr>
          <w:t>правила дистанционной продажи товаров</w:t>
        </w:r>
      </w:hyperlink>
      <w:r w:rsidRPr="0000007D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, которая в настоящее время приобретает все более широкое распространение.</w:t>
      </w:r>
    </w:p>
    <w:p w:rsidR="00CB7373" w:rsidRDefault="00CB7373" w:rsidP="00CB7373"/>
    <w:p w:rsidR="00CB7373" w:rsidRDefault="00CB7373" w:rsidP="00CB7373"/>
    <w:p w:rsidR="00CB7373" w:rsidRDefault="00CB7373" w:rsidP="00CB7373"/>
    <w:p w:rsidR="00CB7373" w:rsidRDefault="00CB7373" w:rsidP="00CB7373"/>
    <w:p w:rsidR="00CB7373" w:rsidRDefault="00CB7373" w:rsidP="00CB7373"/>
    <w:p w:rsidR="00CB7373" w:rsidRDefault="00CB7373" w:rsidP="00CB7373"/>
    <w:p w:rsidR="00CB7373" w:rsidRDefault="00CB7373" w:rsidP="00CB7373"/>
    <w:p w:rsidR="00CB7373" w:rsidRDefault="00CB7373" w:rsidP="00CB7373"/>
    <w:p w:rsidR="00CB7373" w:rsidRDefault="00CB7373" w:rsidP="00CB7373"/>
    <w:p w:rsidR="00CB7373" w:rsidRDefault="00CB7373" w:rsidP="00CB7373"/>
    <w:p w:rsidR="001C71FB" w:rsidRDefault="001C71FB"/>
    <w:sectPr w:rsidR="001C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CF"/>
    <w:rsid w:val="00043FCF"/>
    <w:rsid w:val="001C71FB"/>
    <w:rsid w:val="00C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3972-9CAB-47C1-9E34-C9328807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pppinf.ru/perechen-tehnicheski-slozhnyh-tovarov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pppinf.ru/pravila-okazanija-uslug.html" TargetMode="External"/><Relationship Id="rId12" Type="http://schemas.openxmlformats.org/officeDocument/2006/relationships/hyperlink" Target="https://www.zpppinf.ru/pravila-prodazhi-tovarov-distancionnym-sposobo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pppinf.ru/docs.html" TargetMode="External"/><Relationship Id="rId11" Type="http://schemas.openxmlformats.org/officeDocument/2006/relationships/hyperlink" Target="https://www.zpppinf.ru/pravila-komissionnoj-torgovli-neprodovolstvennymi-tovarami.html" TargetMode="External"/><Relationship Id="rId5" Type="http://schemas.openxmlformats.org/officeDocument/2006/relationships/hyperlink" Target="https://www.zpppinf.ru/gk-rf.html" TargetMode="External"/><Relationship Id="rId10" Type="http://schemas.openxmlformats.org/officeDocument/2006/relationships/hyperlink" Target="https://www.zpppinf.ru/perechen-tovarov-dlitelnogo-polzovanija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zpppinf.ru/perechen-neprodovolstvennyh-tovar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3</cp:revision>
  <dcterms:created xsi:type="dcterms:W3CDTF">2023-08-03T09:53:00Z</dcterms:created>
  <dcterms:modified xsi:type="dcterms:W3CDTF">2023-08-03T09:55:00Z</dcterms:modified>
</cp:coreProperties>
</file>