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90611">
        <w:tc>
          <w:tcPr>
            <w:tcW w:w="2694" w:type="dxa"/>
          </w:tcPr>
          <w:bookmarkStart w:id="0" w:name="_GoBack"/>
          <w:bookmarkEnd w:id="0"/>
          <w:p w:rsidR="00290611" w:rsidRDefault="00730EB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90611" w:rsidRDefault="00730EB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90611" w:rsidRDefault="002906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11" w:rsidRDefault="00730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290611" w:rsidRDefault="002906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ab/>
      </w:r>
    </w:p>
    <w:p w:rsidR="00290611" w:rsidRDefault="00730EBE">
      <w:pPr>
        <w:jc w:val="both"/>
        <w:rPr>
          <w:b/>
        </w:rPr>
      </w:pPr>
      <w:r>
        <w:rPr>
          <w:rFonts w:ascii="PT Serif" w:eastAsia="PT Serif" w:hAnsi="PT Serif" w:cs="PT Serif"/>
          <w:b/>
          <w:sz w:val="24"/>
        </w:rPr>
        <w:t>В Алтайском крае растет интерес бизнеса к инвестиционному кредитованию</w:t>
      </w:r>
    </w:p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 xml:space="preserve">Алтайские предприниматели стали чаще оформлять инвестиционные кредиты в рамках национального проекта «Малое и среднее предпринимательство и поддержка индивидуальной предпринимательской </w:t>
      </w:r>
      <w:r>
        <w:rPr>
          <w:rFonts w:ascii="PT Serif" w:eastAsia="PT Serif" w:hAnsi="PT Serif" w:cs="PT Serif"/>
          <w:sz w:val="24"/>
        </w:rPr>
        <w:t>инициативы». Региональный центр «Мой бизнес» отмечает увеличение числа займов, которые идут на расширение производства, покупку оборудования, техники или помещений. Еще год назад на эти цели выдавали треть кредитов, в этом году - уже более 40%.</w:t>
      </w:r>
    </w:p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>В числе ком</w:t>
      </w:r>
      <w:r>
        <w:rPr>
          <w:rFonts w:ascii="PT Serif" w:eastAsia="PT Serif" w:hAnsi="PT Serif" w:cs="PT Serif"/>
          <w:sz w:val="24"/>
        </w:rPr>
        <w:t>паний, воспользовавшихся кредитом на льготных условиях, «РУСГРУЗ» - логистический оператор стандарта 3PL, предлагающий комплексные решения по доставке грузов железнодорожным, морским и автомобильным транспортом по России, ближнему и дальнему зарубежью. Ком</w:t>
      </w:r>
      <w:r>
        <w:rPr>
          <w:rFonts w:ascii="PT Serif" w:eastAsia="PT Serif" w:hAnsi="PT Serif" w:cs="PT Serif"/>
          <w:sz w:val="24"/>
        </w:rPr>
        <w:t>пания ежемесячно отправляет около 1000 вагонов груза. Предприятие перевозит треть транспортируемой из края муки и крупы.</w:t>
      </w:r>
    </w:p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 xml:space="preserve">Как отмечают в управлении Алтайского края по развитию предпринимательства и рыночной инфраструктуры, компания в течение нескольких лет </w:t>
      </w:r>
      <w:r>
        <w:rPr>
          <w:rFonts w:ascii="PT Serif" w:eastAsia="PT Serif" w:hAnsi="PT Serif" w:cs="PT Serif"/>
          <w:sz w:val="24"/>
        </w:rPr>
        <w:t>занимает лидирующие позиции на рынке грузоперевозок Сибирского федерального округа. В основном клиенты пользуются железной дорогой. Но иногда автомобильный транспорт - единственно возможный способ доставки.</w:t>
      </w:r>
    </w:p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>«У нас есть свои машины, контейнеровозы, но нам и</w:t>
      </w:r>
      <w:r>
        <w:rPr>
          <w:rFonts w:ascii="PT Serif" w:eastAsia="PT Serif" w:hAnsi="PT Serif" w:cs="PT Serif"/>
          <w:sz w:val="24"/>
        </w:rPr>
        <w:t>х не хватает. Поэтому решили пополнить автопарк шестью новыми грузовиками. Покупка не из дешевых, без кредита не обошлось. Оформить его на льготных условиях помогла поддержка Центра предоставления гарантий Алтайского фонда МСП», - рассказал директор по раз</w:t>
      </w:r>
      <w:r>
        <w:rPr>
          <w:rFonts w:ascii="PT Serif" w:eastAsia="PT Serif" w:hAnsi="PT Serif" w:cs="PT Serif"/>
          <w:sz w:val="24"/>
        </w:rPr>
        <w:t>витию компании «РУСГРУЗ» Евгений Полянский.</w:t>
      </w:r>
    </w:p>
    <w:p w:rsidR="00290611" w:rsidRDefault="00730EBE">
      <w:pPr>
        <w:jc w:val="both"/>
      </w:pPr>
      <w:r>
        <w:rPr>
          <w:rFonts w:ascii="PT Serif" w:eastAsia="PT Serif" w:hAnsi="PT Serif" w:cs="PT Serif"/>
          <w:sz w:val="24"/>
        </w:rPr>
        <w:t>Специалисты отмечают рост интереса бизнеса к инвестиционному кредитованию. Именно такие проекты в приоритете, и для них создают новые выгодные условия. «Центр предоставления гарантий Алтайского фонда МСП в два ра</w:t>
      </w:r>
      <w:r>
        <w:rPr>
          <w:rFonts w:ascii="PT Serif" w:eastAsia="PT Serif" w:hAnsi="PT Serif" w:cs="PT Serif"/>
          <w:sz w:val="24"/>
        </w:rPr>
        <w:t>за увеличил максимальный размер поручительства по одному кредиту. Если раньше мы поручались на 25 миллионов рублей, то с 1 июля 2023 года сумма выросла до 50 миллионов», - рассказывает руководитель центра Наталья Магель.</w:t>
      </w:r>
    </w:p>
    <w:p w:rsidR="00290611" w:rsidRDefault="00730EBE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 xml:space="preserve">Увеличен и срок поручительства - с 7 до 10 лет. Всего с начала года Центр предоставления гарантий поручился по инвестиционным кредитам уже более чем на 850 миллионов рублей. </w:t>
      </w:r>
    </w:p>
    <w:p w:rsidR="00290611" w:rsidRDefault="00730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Получить более подробную информацию об услугах и продуктах фонда, а также об усло</w:t>
      </w:r>
      <w:r>
        <w:rPr>
          <w:rFonts w:ascii="Times New Roman" w:hAnsi="Times New Roman" w:cs="Times New Roman"/>
          <w:sz w:val="26"/>
          <w:szCs w:val="26"/>
        </w:rPr>
        <w:t xml:space="preserve">виях их получения можно по телефону по тел.: 8-800-222-83-22, на официальном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>
        <w:rPr>
          <w:rFonts w:ascii="Times New Roman" w:hAnsi="Times New Roman" w:cs="Times New Roman"/>
          <w:sz w:val="26"/>
          <w:szCs w:val="26"/>
        </w:rPr>
        <w:t>://мойбизнес22.рф/, а также по адресу ул. Мало-Тобольская, 19.</w:t>
      </w:r>
    </w:p>
    <w:p w:rsidR="00290611" w:rsidRDefault="00290611">
      <w:pPr>
        <w:jc w:val="both"/>
        <w:rPr>
          <w:rFonts w:ascii="PT Serif" w:eastAsia="PT Serif" w:hAnsi="PT Serif" w:cs="PT Serif"/>
          <w:sz w:val="24"/>
        </w:rPr>
      </w:pPr>
    </w:p>
    <w:sectPr w:rsidR="0029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BE" w:rsidRDefault="00730EBE">
      <w:pPr>
        <w:spacing w:after="0" w:line="240" w:lineRule="auto"/>
      </w:pPr>
      <w:r>
        <w:separator/>
      </w:r>
    </w:p>
  </w:endnote>
  <w:endnote w:type="continuationSeparator" w:id="0">
    <w:p w:rsidR="00730EBE" w:rsidRDefault="0073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BE" w:rsidRDefault="00730EBE">
      <w:pPr>
        <w:spacing w:after="0" w:line="240" w:lineRule="auto"/>
      </w:pPr>
      <w:r>
        <w:separator/>
      </w:r>
    </w:p>
  </w:footnote>
  <w:footnote w:type="continuationSeparator" w:id="0">
    <w:p w:rsidR="00730EBE" w:rsidRDefault="0073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627"/>
    <w:multiLevelType w:val="hybridMultilevel"/>
    <w:tmpl w:val="1140031E"/>
    <w:lvl w:ilvl="0" w:tplc="D92AA7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2623F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C24E1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E100B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C1A8A2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49E0A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D9C9A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F3852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A6AAC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1FF25060"/>
    <w:multiLevelType w:val="hybridMultilevel"/>
    <w:tmpl w:val="960E0B98"/>
    <w:lvl w:ilvl="0" w:tplc="1480FA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48677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28E94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4167B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B90D8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3B282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272ED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406CF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1FA182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11"/>
    <w:rsid w:val="00290611"/>
    <w:rsid w:val="00316021"/>
    <w:rsid w:val="007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6792C-50B1-47A5-A6A6-DDAB1BEA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2023-08-07T08:54:00Z</dcterms:created>
  <dcterms:modified xsi:type="dcterms:W3CDTF">2023-08-07T08:54:00Z</dcterms:modified>
</cp:coreProperties>
</file>