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95411">
        <w:tc>
          <w:tcPr>
            <w:tcW w:w="2694" w:type="dxa"/>
          </w:tcPr>
          <w:bookmarkStart w:id="0" w:name="_GoBack"/>
          <w:bookmarkEnd w:id="0"/>
          <w:p w:rsidR="00295411" w:rsidRDefault="0056335F">
            <w:pPr>
              <w:pStyle w:val="5"/>
              <w:outlineLvl w:val="4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95411" w:rsidRDefault="0056335F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95411" w:rsidRDefault="00295411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</w:p>
          <w:p w:rsidR="00295411" w:rsidRDefault="0056335F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, (385-2) 242467</w:t>
            </w:r>
          </w:p>
          <w:p w:rsidR="00295411" w:rsidRDefault="00295411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295411" w:rsidRDefault="002954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b/>
          <w:sz w:val="26"/>
        </w:rPr>
      </w:pP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b/>
          <w:sz w:val="26"/>
        </w:rPr>
      </w:pPr>
      <w:r>
        <w:rPr>
          <w:rFonts w:ascii="PT Astra Serif" w:eastAsia="PT Astra Serif" w:hAnsi="PT Astra Serif" w:cs="PT Astra Serif"/>
          <w:b/>
          <w:sz w:val="26"/>
        </w:rPr>
        <w:t xml:space="preserve">Алтайский край вошел в число регионов-лидеров </w:t>
      </w:r>
      <w:r>
        <w:rPr>
          <w:rFonts w:ascii="PT Astra Serif" w:eastAsia="PT Astra Serif" w:hAnsi="PT Astra Serif" w:cs="PT Astra Serif"/>
          <w:b/>
          <w:sz w:val="26"/>
        </w:rPr>
        <w:t>реализации льготной кредитной программы «1764» за 10 месяцев 2023 года</w:t>
      </w: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Минэкономразвития РФ подвело итоги реализации льготной кредитной программы «1764» за 10 месяцев 2023 года.</w:t>
      </w: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«</w:t>
      </w:r>
      <w:r>
        <w:rPr>
          <w:rFonts w:ascii="PT Astra Serif" w:eastAsia="PT Astra Serif" w:hAnsi="PT Astra Serif" w:cs="PT Astra Serif"/>
          <w:sz w:val="26"/>
        </w:rPr>
        <w:t>В рамках реализации Программы «1764» по итогам 10 месяцев 2023 года заключено 25 тысяч кредитных договоров на сумму 566 млрд рублей, что в 1,5 раза превышает объем кредитов по кредитным договорам, заключенным в январе – октябре 2022 года. В регионах лидера</w:t>
      </w:r>
      <w:r>
        <w:rPr>
          <w:rFonts w:ascii="PT Astra Serif" w:eastAsia="PT Astra Serif" w:hAnsi="PT Astra Serif" w:cs="PT Astra Serif"/>
          <w:sz w:val="26"/>
        </w:rPr>
        <w:t>х, ожидаемо, Москва и Санкт-Петербург, Московская, Свердловская, Челябинская и Новосибирская области, Краснодарский край и Республика Татарстан. При этом мы видим практически равное распределение кредитов среди федеральных округов относительно числа предпр</w:t>
      </w:r>
      <w:r>
        <w:rPr>
          <w:rFonts w:ascii="PT Astra Serif" w:eastAsia="PT Astra Serif" w:hAnsi="PT Astra Serif" w:cs="PT Astra Serif"/>
          <w:sz w:val="26"/>
        </w:rPr>
        <w:t>инимателей. Это означает, что подобные инструменты формируют равные условия и одинаково востребованы бизнесом по всей стране», – отметила заместитель министра экономического развития РФ Татьяна Илюшникова.</w:t>
      </w: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75% от общего числа кредитов, предоставленных по п</w:t>
      </w:r>
      <w:r>
        <w:rPr>
          <w:rFonts w:ascii="PT Astra Serif" w:eastAsia="PT Astra Serif" w:hAnsi="PT Astra Serif" w:cs="PT Astra Serif"/>
          <w:sz w:val="26"/>
        </w:rPr>
        <w:t>рограмме в 2023 году, приходится на микропредприятия, 20% – на малые предприятия, 5 % – на средние.</w:t>
      </w: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 xml:space="preserve">52% (294 млрд рублей) от общего объема кредитов предоставлено предпринимателям из обрабатывающих производств, поскольку эта отрасль является приоритетной в </w:t>
      </w:r>
      <w:r>
        <w:rPr>
          <w:rFonts w:ascii="PT Astra Serif" w:eastAsia="PT Astra Serif" w:hAnsi="PT Astra Serif" w:cs="PT Astra Serif"/>
          <w:sz w:val="26"/>
        </w:rPr>
        <w:t>программе «1764». С предпринимателями транспортной и складской отраслей заключено кредитов на 76 млрд рублей, сельскохозяйственной – на 30 млрд рублей, гостиничной индустрии – на 24 млрд рублей.</w:t>
      </w: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  <w:sz w:val="26"/>
        </w:rPr>
      </w:pPr>
      <w:r>
        <w:rPr>
          <w:rFonts w:ascii="PT Astra Serif" w:eastAsia="PT Astra Serif" w:hAnsi="PT Astra Serif" w:cs="PT Astra Serif"/>
          <w:sz w:val="26"/>
        </w:rPr>
        <w:t>Средний чек по кредитам, выданным в 2023 году, составляет 21,</w:t>
      </w:r>
      <w:r>
        <w:rPr>
          <w:rFonts w:ascii="PT Astra Serif" w:eastAsia="PT Astra Serif" w:hAnsi="PT Astra Serif" w:cs="PT Astra Serif"/>
          <w:sz w:val="26"/>
        </w:rPr>
        <w:t>8 млн рублей, что в 2,4 раза выше среднего размера кредитов, выданных за аналогичный период 2022 года. Основной прирост обеспечен за счет спроса субъектов МСП на льготные инвестиционные кредиты.</w:t>
      </w: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6"/>
        </w:rPr>
        <w:t>В Алтайском крае в 2023 году заключено 438 кредитных договоров на общую сумму более 11 млрд. рублей. Средний размер заключенного в регионе кредита превышает 25 млн. рублей.</w:t>
      </w:r>
    </w:p>
    <w:p w:rsidR="00295411" w:rsidRDefault="005633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PT Astra Serif" w:eastAsia="PT Astra Serif" w:hAnsi="PT Astra Serif" w:cs="PT Astra Serif"/>
          <w:sz w:val="26"/>
        </w:rPr>
        <w:t>Льготная программа инвестиционного кредитования «1764» реализуется в рамках национа</w:t>
      </w:r>
      <w:r>
        <w:rPr>
          <w:rFonts w:ascii="PT Astra Serif" w:eastAsia="PT Astra Serif" w:hAnsi="PT Astra Serif" w:cs="PT Astra Serif"/>
          <w:sz w:val="26"/>
        </w:rPr>
        <w:t>льного проекта «Малое и среднее предпринимательство», который инициировал Президент России Владимир Путин и курирует первый вице-премьер Андрей Белоусов.</w:t>
      </w:r>
    </w:p>
    <w:sectPr w:rsidR="00295411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5F" w:rsidRDefault="0056335F">
      <w:pPr>
        <w:spacing w:after="0" w:line="240" w:lineRule="auto"/>
      </w:pPr>
      <w:r>
        <w:separator/>
      </w:r>
    </w:p>
  </w:endnote>
  <w:endnote w:type="continuationSeparator" w:id="0">
    <w:p w:rsidR="0056335F" w:rsidRDefault="005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5F" w:rsidRDefault="0056335F">
      <w:pPr>
        <w:spacing w:after="0" w:line="240" w:lineRule="auto"/>
      </w:pPr>
      <w:r>
        <w:separator/>
      </w:r>
    </w:p>
  </w:footnote>
  <w:footnote w:type="continuationSeparator" w:id="0">
    <w:p w:rsidR="0056335F" w:rsidRDefault="005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E096F"/>
    <w:multiLevelType w:val="hybridMultilevel"/>
    <w:tmpl w:val="4752AC26"/>
    <w:lvl w:ilvl="0" w:tplc="9B0CCA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7B668C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DDADE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5D8C19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C2E81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2C88D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51C4E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AE8A97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75A8D0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24E178A1"/>
    <w:multiLevelType w:val="hybridMultilevel"/>
    <w:tmpl w:val="F5F44B86"/>
    <w:lvl w:ilvl="0" w:tplc="E018A836">
      <w:start w:val="1"/>
      <w:numFmt w:val="decimal"/>
      <w:lvlText w:val="%1."/>
      <w:lvlJc w:val="right"/>
      <w:pPr>
        <w:ind w:left="709" w:hanging="360"/>
      </w:pPr>
    </w:lvl>
    <w:lvl w:ilvl="1" w:tplc="CF5EF14A">
      <w:start w:val="1"/>
      <w:numFmt w:val="decimal"/>
      <w:lvlText w:val="%2."/>
      <w:lvlJc w:val="right"/>
      <w:pPr>
        <w:ind w:left="1429" w:hanging="360"/>
      </w:pPr>
    </w:lvl>
    <w:lvl w:ilvl="2" w:tplc="52C26C20">
      <w:start w:val="1"/>
      <w:numFmt w:val="decimal"/>
      <w:lvlText w:val="%3."/>
      <w:lvlJc w:val="right"/>
      <w:pPr>
        <w:ind w:left="2149" w:hanging="180"/>
      </w:pPr>
    </w:lvl>
    <w:lvl w:ilvl="3" w:tplc="98CA232E">
      <w:start w:val="1"/>
      <w:numFmt w:val="decimal"/>
      <w:lvlText w:val="%4."/>
      <w:lvlJc w:val="right"/>
      <w:pPr>
        <w:ind w:left="2869" w:hanging="360"/>
      </w:pPr>
    </w:lvl>
    <w:lvl w:ilvl="4" w:tplc="0D2CBE82">
      <w:start w:val="1"/>
      <w:numFmt w:val="decimal"/>
      <w:lvlText w:val="%5."/>
      <w:lvlJc w:val="right"/>
      <w:pPr>
        <w:ind w:left="3589" w:hanging="360"/>
      </w:pPr>
    </w:lvl>
    <w:lvl w:ilvl="5" w:tplc="FABA652A">
      <w:start w:val="1"/>
      <w:numFmt w:val="decimal"/>
      <w:lvlText w:val="%6."/>
      <w:lvlJc w:val="right"/>
      <w:pPr>
        <w:ind w:left="4309" w:hanging="180"/>
      </w:pPr>
    </w:lvl>
    <w:lvl w:ilvl="6" w:tplc="7F52DA0C">
      <w:start w:val="1"/>
      <w:numFmt w:val="decimal"/>
      <w:lvlText w:val="%7."/>
      <w:lvlJc w:val="right"/>
      <w:pPr>
        <w:ind w:left="5029" w:hanging="360"/>
      </w:pPr>
    </w:lvl>
    <w:lvl w:ilvl="7" w:tplc="AE9AC9F0">
      <w:start w:val="1"/>
      <w:numFmt w:val="decimal"/>
      <w:lvlText w:val="%8."/>
      <w:lvlJc w:val="right"/>
      <w:pPr>
        <w:ind w:left="5749" w:hanging="360"/>
      </w:pPr>
    </w:lvl>
    <w:lvl w:ilvl="8" w:tplc="A49A1D8A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41F92C7C"/>
    <w:multiLevelType w:val="hybridMultilevel"/>
    <w:tmpl w:val="B07AB810"/>
    <w:lvl w:ilvl="0" w:tplc="ED706FCC">
      <w:start w:val="1"/>
      <w:numFmt w:val="decimal"/>
      <w:lvlText w:val="%1."/>
      <w:lvlJc w:val="left"/>
    </w:lvl>
    <w:lvl w:ilvl="1" w:tplc="6052AA64">
      <w:start w:val="1"/>
      <w:numFmt w:val="lowerLetter"/>
      <w:lvlText w:val="%2."/>
      <w:lvlJc w:val="left"/>
      <w:pPr>
        <w:ind w:left="1440" w:hanging="360"/>
      </w:pPr>
    </w:lvl>
    <w:lvl w:ilvl="2" w:tplc="69FA31FC">
      <w:start w:val="1"/>
      <w:numFmt w:val="lowerRoman"/>
      <w:lvlText w:val="%3."/>
      <w:lvlJc w:val="right"/>
      <w:pPr>
        <w:ind w:left="2160" w:hanging="180"/>
      </w:pPr>
    </w:lvl>
    <w:lvl w:ilvl="3" w:tplc="F6B07F90">
      <w:start w:val="1"/>
      <w:numFmt w:val="decimal"/>
      <w:lvlText w:val="%4."/>
      <w:lvlJc w:val="left"/>
      <w:pPr>
        <w:ind w:left="2880" w:hanging="360"/>
      </w:pPr>
    </w:lvl>
    <w:lvl w:ilvl="4" w:tplc="19D4581A">
      <w:start w:val="1"/>
      <w:numFmt w:val="lowerLetter"/>
      <w:lvlText w:val="%5."/>
      <w:lvlJc w:val="left"/>
      <w:pPr>
        <w:ind w:left="3600" w:hanging="360"/>
      </w:pPr>
    </w:lvl>
    <w:lvl w:ilvl="5" w:tplc="4A063354">
      <w:start w:val="1"/>
      <w:numFmt w:val="lowerRoman"/>
      <w:lvlText w:val="%6."/>
      <w:lvlJc w:val="right"/>
      <w:pPr>
        <w:ind w:left="4320" w:hanging="180"/>
      </w:pPr>
    </w:lvl>
    <w:lvl w:ilvl="6" w:tplc="914EE732">
      <w:start w:val="1"/>
      <w:numFmt w:val="decimal"/>
      <w:lvlText w:val="%7."/>
      <w:lvlJc w:val="left"/>
      <w:pPr>
        <w:ind w:left="5040" w:hanging="360"/>
      </w:pPr>
    </w:lvl>
    <w:lvl w:ilvl="7" w:tplc="27065D62">
      <w:start w:val="1"/>
      <w:numFmt w:val="lowerLetter"/>
      <w:lvlText w:val="%8."/>
      <w:lvlJc w:val="left"/>
      <w:pPr>
        <w:ind w:left="5760" w:hanging="360"/>
      </w:pPr>
    </w:lvl>
    <w:lvl w:ilvl="8" w:tplc="E7E011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1"/>
    <w:rsid w:val="00252FCD"/>
    <w:rsid w:val="00295411"/>
    <w:rsid w:val="0056335F"/>
    <w:rsid w:val="005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0F07B-6390-4EC9-A97D-594454A3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2023-12-05T04:46:00Z</dcterms:created>
  <dcterms:modified xsi:type="dcterms:W3CDTF">2023-12-05T04:46:00Z</dcterms:modified>
</cp:coreProperties>
</file>